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245" w:hanging="11"/>
        <w:spacing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</w:r>
      <w:r>
        <w:rPr>
          <w:sz w:val="24"/>
          <w:szCs w:val="24"/>
          <w:lang w:val="en-US"/>
        </w:rPr>
      </w:r>
      <w:r>
        <w:rPr>
          <w:sz w:val="24"/>
          <w:szCs w:val="24"/>
          <w:lang w:val="en-US"/>
        </w:rPr>
      </w:r>
    </w:p>
    <w:p>
      <w:pPr>
        <w:ind w:left="5245" w:hanging="11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«УТВЕРЖДАЮ»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245" w:hanging="11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Председатель закупочной комиссии АО «ДГК» 1 уровня -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245" w:hanging="11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Заместитель генерального директора по управлению ресурсами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245" w:hanging="11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__________________    Д.А. </w:t>
      </w:r>
      <w:r>
        <w:rPr>
          <w:sz w:val="24"/>
          <w:szCs w:val="24"/>
        </w:rPr>
        <w:t xml:space="preserve">Богонатов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245" w:hanging="11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«___» ______________  2026</w:t>
      </w:r>
      <w:r>
        <w:rPr>
          <w:sz w:val="24"/>
          <w:szCs w:val="24"/>
        </w:rPr>
        <w:t xml:space="preserve"> 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245" w:hanging="11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245" w:hanging="11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3"/>
        <w:contextualSpacing/>
        <w:jc w:val="center"/>
        <w:spacing w:before="0" w:line="240" w:lineRule="auto"/>
        <w:rPr>
          <w:b/>
          <w:sz w:val="24"/>
          <w:u w:val="single"/>
        </w:rPr>
      </w:pPr>
      <w:r>
        <w:rPr>
          <w:b/>
          <w:sz w:val="24"/>
        </w:rPr>
        <w:t xml:space="preserve">Уведомление о внесении изменений </w:t>
      </w:r>
      <w:r>
        <w:rPr>
          <w:b/>
          <w:sz w:val="24"/>
          <w:u w:val="single"/>
        </w:rPr>
      </w:r>
      <w:r>
        <w:rPr>
          <w:b/>
          <w:sz w:val="24"/>
          <w:u w:val="single"/>
        </w:rPr>
      </w:r>
    </w:p>
    <w:p>
      <w:pPr>
        <w:pStyle w:val="843"/>
        <w:contextualSpacing/>
        <w:jc w:val="center"/>
        <w:spacing w:line="240" w:lineRule="auto"/>
        <w:rPr>
          <w:b/>
          <w:bCs/>
          <w:sz w:val="24"/>
          <w:szCs w:val="24"/>
        </w:rPr>
      </w:pPr>
      <w:r>
        <w:rPr>
          <w:b/>
          <w:sz w:val="24"/>
        </w:rPr>
        <w:t xml:space="preserve">в Документацию о закупке по запросу котировок</w:t>
      </w:r>
      <w:r>
        <w:rPr>
          <w:b/>
          <w:sz w:val="24"/>
        </w:rPr>
        <w:t xml:space="preserve"> </w:t>
      </w:r>
      <w:r>
        <w:rPr>
          <w:b/>
          <w:sz w:val="24"/>
        </w:rPr>
        <w:t xml:space="preserve">в электронной форме</w:t>
      </w:r>
      <w:r>
        <w:rPr>
          <w:b/>
          <w:sz w:val="24"/>
        </w:rPr>
        <w:t xml:space="preserve">, </w:t>
      </w:r>
      <w:r>
        <w:rPr>
          <w:b/>
          <w:sz w:val="24"/>
        </w:rPr>
        <w:t xml:space="preserve">участниками которого могут быть только субъекты малого среднего предпринимательства, </w:t>
      </w:r>
      <w:r>
        <w:rPr>
          <w:b/>
          <w:sz w:val="24"/>
        </w:rPr>
        <w:t xml:space="preserve">на </w:t>
      </w:r>
      <w:r>
        <w:rPr>
          <w:b/>
          <w:sz w:val="24"/>
        </w:rPr>
        <w:t xml:space="preserve">поставку</w:t>
      </w:r>
      <w:r>
        <w:rPr>
          <w:b/>
          <w:sz w:val="24"/>
        </w:rPr>
        <w:t xml:space="preserve"> </w:t>
      </w:r>
      <w:r>
        <w:rPr>
          <w:b/>
          <w:sz w:val="24"/>
        </w:rPr>
        <w:t xml:space="preserve"> </w:t>
      </w:r>
      <w:r>
        <w:rPr>
          <w:b/>
          <w:sz w:val="24"/>
        </w:rPr>
        <w:t xml:space="preserve">(</w:t>
      </w:r>
      <w:r>
        <w:rPr>
          <w:b/>
          <w:sz w:val="24"/>
        </w:rPr>
        <w:t xml:space="preserve">ОКПД2 27.5</w:t>
      </w:r>
      <w:r>
        <w:rPr>
          <w:b/>
          <w:sz w:val="24"/>
        </w:rPr>
        <w:t xml:space="preserve">) </w:t>
      </w:r>
      <w:r>
        <w:rPr>
          <w:b/>
          <w:sz w:val="24"/>
        </w:rPr>
        <w:t xml:space="preserve">бытовой и промышленной техники и комплектующих к ней </w:t>
      </w:r>
      <w:r>
        <w:rPr>
          <w:b/>
          <w:sz w:val="24"/>
        </w:rPr>
        <w:t xml:space="preserve"> </w:t>
      </w:r>
      <w:r>
        <w:rPr>
          <w:b/>
          <w:sz w:val="24"/>
        </w:rPr>
        <w:t xml:space="preserve">для  нужд СП АО «ДГК» Хабаровский край, Приморский край, Амурская область,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43"/>
        <w:contextualSpacing/>
        <w:jc w:val="center"/>
        <w:spacing w:line="240" w:lineRule="auto"/>
        <w:rPr>
          <w:b/>
          <w:bCs/>
          <w:sz w:val="24"/>
          <w:szCs w:val="24"/>
        </w:rPr>
      </w:pPr>
      <w:r>
        <w:rPr>
          <w:b/>
          <w:sz w:val="24"/>
        </w:rPr>
        <w:t xml:space="preserve">Республика Саха (Якутия), ЕАО.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43"/>
        <w:contextualSpacing/>
        <w:jc w:val="center"/>
        <w:spacing w:line="240" w:lineRule="auto"/>
        <w:rPr>
          <w:b/>
          <w:sz w:val="24"/>
        </w:rPr>
      </w:pPr>
      <w:r>
        <w:rPr>
          <w:b/>
          <w:sz w:val="24"/>
        </w:rPr>
        <w:t xml:space="preserve">Лот №42016159</w:t>
      </w:r>
      <w:r>
        <w:rPr>
          <w:b/>
          <w:sz w:val="24"/>
        </w:rPr>
        <w:t xml:space="preserve">-ЭКСП ПРОД-2026-ДГК.</w:t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843"/>
        <w:contextualSpacing/>
        <w:jc w:val="center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843"/>
        <w:spacing w:before="0" w:line="240" w:lineRule="auto"/>
        <w:rPr>
          <w:sz w:val="24"/>
          <w:u w:val="single"/>
        </w:rPr>
      </w:pPr>
      <w:r>
        <w:rPr>
          <w:b/>
          <w:sz w:val="24"/>
        </w:rPr>
        <w:t xml:space="preserve">№ </w:t>
      </w:r>
      <w:r>
        <w:rPr>
          <w:b/>
          <w:sz w:val="24"/>
        </w:rPr>
        <w:t xml:space="preserve">1</w:t>
      </w:r>
      <w:r>
        <w:rPr>
          <w:b/>
          <w:sz w:val="24"/>
        </w:rPr>
        <w:t xml:space="preserve"> </w:t>
      </w:r>
      <w:r>
        <w:rPr>
          <w:b/>
          <w:i/>
          <w:sz w:val="24"/>
        </w:rPr>
        <w:t xml:space="preserve">                                                                </w:t>
      </w:r>
      <w:r>
        <w:rPr>
          <w:b/>
          <w:i/>
          <w:sz w:val="24"/>
        </w:rPr>
        <w:t xml:space="preserve">                             </w:t>
      </w:r>
      <w:r>
        <w:rPr>
          <w:b/>
          <w:i/>
          <w:sz w:val="24"/>
        </w:rPr>
        <w:t xml:space="preserve"> </w:t>
      </w:r>
      <w:r>
        <w:rPr>
          <w:b/>
          <w:i/>
          <w:sz w:val="24"/>
        </w:rPr>
        <w:t xml:space="preserve">   </w:t>
      </w:r>
      <w:r>
        <w:rPr>
          <w:b/>
          <w:i/>
          <w:sz w:val="24"/>
        </w:rPr>
        <w:t xml:space="preserve"> </w:t>
      </w:r>
      <w:r>
        <w:rPr>
          <w:b/>
          <w:i/>
          <w:sz w:val="24"/>
        </w:rPr>
        <w:t xml:space="preserve"> </w:t>
      </w:r>
      <w:r>
        <w:rPr>
          <w:b/>
          <w:i/>
          <w:sz w:val="24"/>
        </w:rPr>
        <w:t xml:space="preserve">      </w:t>
      </w:r>
      <w:r>
        <w:rPr>
          <w:b/>
          <w:sz w:val="24"/>
        </w:rPr>
        <w:t xml:space="preserve">от «24</w:t>
      </w:r>
      <w:r>
        <w:rPr>
          <w:b/>
          <w:sz w:val="24"/>
        </w:rPr>
        <w:t xml:space="preserve">» июля</w:t>
      </w:r>
      <w:r>
        <w:rPr>
          <w:b/>
          <w:sz w:val="24"/>
        </w:rPr>
        <w:t xml:space="preserve"> 2026</w:t>
      </w:r>
      <w:r>
        <w:rPr>
          <w:b/>
          <w:sz w:val="24"/>
        </w:rPr>
        <w:t xml:space="preserve">г.</w:t>
      </w:r>
      <w:r>
        <w:rPr>
          <w:sz w:val="24"/>
          <w:u w:val="single"/>
        </w:rPr>
      </w:r>
      <w:r>
        <w:rPr>
          <w:sz w:val="24"/>
          <w:u w:val="single"/>
        </w:rPr>
      </w:r>
    </w:p>
    <w:p>
      <w:pPr>
        <w:pStyle w:val="843"/>
        <w:spacing w:before="0" w:line="240" w:lineRule="auto"/>
        <w:rPr>
          <w:sz w:val="24"/>
          <w:u w:val="single"/>
        </w:rPr>
      </w:pPr>
      <w:r>
        <w:rPr>
          <w:sz w:val="24"/>
          <w:u w:val="single"/>
        </w:rPr>
      </w:r>
      <w:r>
        <w:rPr>
          <w:sz w:val="24"/>
          <w:u w:val="single"/>
        </w:rPr>
      </w:r>
      <w:r>
        <w:rPr>
          <w:sz w:val="24"/>
          <w:u w:val="single"/>
        </w:rPr>
      </w:r>
    </w:p>
    <w:p>
      <w:pPr>
        <w:pStyle w:val="843"/>
        <w:spacing w:line="240" w:lineRule="auto"/>
        <w:rPr>
          <w:sz w:val="24"/>
        </w:rPr>
      </w:pPr>
      <w:r>
        <w:rPr>
          <w:b/>
          <w:sz w:val="24"/>
          <w:u w:val="single"/>
        </w:rPr>
        <w:t xml:space="preserve">Организатор:</w:t>
      </w:r>
      <w:r>
        <w:rPr>
          <w:sz w:val="24"/>
        </w:rPr>
        <w:t xml:space="preserve"> </w:t>
      </w:r>
      <w:r>
        <w:rPr>
          <w:sz w:val="24"/>
        </w:rPr>
        <w:t xml:space="preserve">Акционерное общество «Дальневосточная генерирующая компания» (адрес местонахождения: </w:t>
      </w:r>
      <w:r>
        <w:rPr>
          <w:sz w:val="24"/>
        </w:rPr>
        <w:t xml:space="preserve">680000, г.</w:t>
      </w:r>
      <w:r>
        <w:rPr>
          <w:sz w:val="24"/>
        </w:rPr>
        <w:t xml:space="preserve"> Хабаровск, ул. Фрунзе, д. 49). </w:t>
      </w:r>
      <w:r>
        <w:rPr>
          <w:sz w:val="24"/>
        </w:rPr>
      </w:r>
      <w:r>
        <w:rPr>
          <w:sz w:val="24"/>
        </w:rPr>
      </w:r>
    </w:p>
    <w:p>
      <w:pPr>
        <w:pStyle w:val="843"/>
        <w:spacing w:before="0" w:line="240" w:lineRule="auto"/>
        <w:rPr>
          <w:sz w:val="24"/>
        </w:rPr>
      </w:pPr>
      <w:r>
        <w:rPr>
          <w:sz w:val="24"/>
        </w:rPr>
        <w:t xml:space="preserve">электронный адрес: sorokoletova-as@dgk.ru, </w:t>
      </w:r>
      <w:r>
        <w:rPr>
          <w:sz w:val="24"/>
        </w:rPr>
        <w:t xml:space="preserve">контактный телефон: +7 (4212) 26-45-68.</w:t>
      </w:r>
      <w:r>
        <w:rPr>
          <w:sz w:val="24"/>
        </w:rPr>
      </w:r>
      <w:r>
        <w:rPr>
          <w:sz w:val="24"/>
        </w:rPr>
      </w:r>
    </w:p>
    <w:p>
      <w:pPr>
        <w:pStyle w:val="848"/>
        <w:spacing w:before="0"/>
        <w:widowControl w:val="off"/>
        <w:rPr>
          <w:sz w:val="24"/>
          <w:u w:val="single"/>
        </w:rPr>
      </w:pPr>
      <w:r>
        <w:rPr>
          <w:sz w:val="24"/>
          <w:u w:val="single"/>
        </w:rPr>
      </w:r>
      <w:r>
        <w:rPr>
          <w:sz w:val="24"/>
          <w:u w:val="single"/>
        </w:rPr>
      </w:r>
      <w:r>
        <w:rPr>
          <w:sz w:val="24"/>
          <w:u w:val="single"/>
        </w:rPr>
      </w:r>
    </w:p>
    <w:p>
      <w:pPr>
        <w:pStyle w:val="848"/>
        <w:spacing w:before="0"/>
        <w:widowControl w:val="off"/>
        <w:rPr>
          <w:b w:val="0"/>
          <w:sz w:val="24"/>
        </w:rPr>
      </w:pPr>
      <w:r>
        <w:rPr>
          <w:sz w:val="24"/>
          <w:u w:val="single"/>
        </w:rPr>
        <w:t xml:space="preserve">Заказчик:</w:t>
      </w:r>
      <w:r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Акционерное общество «Дальневосточная генерирующая компания» </w:t>
      </w:r>
      <w:r>
        <w:rPr>
          <w:b w:val="0"/>
          <w:sz w:val="24"/>
        </w:rPr>
      </w:r>
      <w:r>
        <w:rPr>
          <w:b w:val="0"/>
          <w:sz w:val="24"/>
        </w:rPr>
      </w:r>
    </w:p>
    <w:p>
      <w:pPr>
        <w:pStyle w:val="848"/>
        <w:spacing w:before="0"/>
        <w:widowControl w:val="off"/>
        <w:rPr>
          <w:b w:val="0"/>
          <w:sz w:val="24"/>
        </w:rPr>
      </w:pPr>
      <w:r>
        <w:rPr>
          <w:b w:val="0"/>
          <w:sz w:val="24"/>
        </w:rPr>
        <w:t xml:space="preserve">(адрес местонахождения: </w:t>
      </w:r>
      <w:r>
        <w:rPr>
          <w:b w:val="0"/>
          <w:sz w:val="24"/>
        </w:rPr>
        <w:t xml:space="preserve">680000, г.</w:t>
      </w:r>
      <w:r>
        <w:rPr>
          <w:b w:val="0"/>
          <w:sz w:val="24"/>
        </w:rPr>
        <w:t xml:space="preserve"> Хабаровск, ул. Фрунзе, д. 49).</w:t>
      </w:r>
      <w:r>
        <w:rPr>
          <w:b w:val="0"/>
          <w:sz w:val="24"/>
        </w:rPr>
      </w:r>
      <w:r>
        <w:rPr>
          <w:b w:val="0"/>
          <w:sz w:val="24"/>
        </w:rPr>
      </w:r>
    </w:p>
    <w:p>
      <w:pPr>
        <w:pStyle w:val="843"/>
        <w:spacing w:before="0" w:line="240" w:lineRule="auto"/>
        <w:rPr>
          <w:sz w:val="24"/>
        </w:rPr>
      </w:pPr>
      <w:r>
        <w:rPr>
          <w:sz w:val="24"/>
        </w:rPr>
        <w:t xml:space="preserve">электронный адрес: dgk@dgk.ru.  </w:t>
      </w:r>
      <w:r>
        <w:rPr>
          <w:sz w:val="24"/>
        </w:rPr>
        <w:t xml:space="preserve">Контактный телефон: +7 (4212) 26-43-63</w:t>
      </w:r>
      <w:r>
        <w:rPr>
          <w:sz w:val="24"/>
        </w:rPr>
      </w:r>
      <w:r>
        <w:rPr>
          <w:sz w:val="24"/>
        </w:rPr>
      </w:r>
    </w:p>
    <w:p>
      <w:pPr>
        <w:pStyle w:val="843"/>
        <w:spacing w:before="0"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843"/>
        <w:spacing w:before="0" w:line="240" w:lineRule="auto"/>
        <w:rPr>
          <w:b/>
          <w:sz w:val="24"/>
        </w:rPr>
      </w:pPr>
      <w:r>
        <w:rPr>
          <w:b/>
          <w:sz w:val="24"/>
          <w:u w:val="single"/>
        </w:rPr>
        <w:t xml:space="preserve">Способ и предмет закупки:</w:t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843"/>
        <w:contextualSpacing/>
        <w:jc w:val="left"/>
        <w:spacing w:line="240" w:lineRule="auto"/>
        <w:rPr>
          <w:b/>
          <w:bCs/>
          <w:sz w:val="24"/>
          <w:szCs w:val="24"/>
        </w:rPr>
      </w:pPr>
      <w:r>
        <w:rPr>
          <w:rStyle w:val="845"/>
          <w:b w:val="0"/>
          <w:i w:val="0"/>
          <w:sz w:val="24"/>
          <w:shd w:val="clear" w:color="auto" w:fill="auto"/>
        </w:rPr>
        <w:t xml:space="preserve">Запрос котировок в электронной форме, </w:t>
      </w:r>
      <w:r>
        <w:rPr>
          <w:rStyle w:val="845"/>
          <w:b w:val="0"/>
          <w:i w:val="0"/>
          <w:sz w:val="24"/>
          <w:shd w:val="clear" w:color="auto" w:fill="auto"/>
        </w:rPr>
        <w:t xml:space="preserve">участниками которого могут быть только субъекты малого среднего предпринимательства, на заключение договора </w:t>
      </w:r>
      <w:r>
        <w:rPr>
          <w:rStyle w:val="845"/>
          <w:b w:val="0"/>
          <w:i w:val="0"/>
          <w:sz w:val="24"/>
          <w:shd w:val="clear" w:color="auto" w:fill="auto"/>
        </w:rPr>
        <w:t xml:space="preserve">на </w:t>
      </w:r>
      <w:r>
        <w:rPr>
          <w:sz w:val="24"/>
        </w:rPr>
        <w:t xml:space="preserve">поставку </w:t>
      </w:r>
      <w:r>
        <w:rPr>
          <w:b/>
          <w:sz w:val="24"/>
        </w:rPr>
        <w:t xml:space="preserve"> </w:t>
      </w:r>
      <w:r>
        <w:rPr>
          <w:b w:val="0"/>
          <w:bCs w:val="0"/>
          <w:sz w:val="24"/>
        </w:rPr>
        <w:t xml:space="preserve">(</w:t>
      </w:r>
      <w:r>
        <w:rPr>
          <w:b w:val="0"/>
          <w:bCs w:val="0"/>
          <w:sz w:val="24"/>
        </w:rPr>
        <w:t xml:space="preserve">ОКПД2 27.5</w:t>
      </w:r>
      <w:r>
        <w:rPr>
          <w:b w:val="0"/>
          <w:bCs w:val="0"/>
          <w:sz w:val="24"/>
        </w:rPr>
        <w:t xml:space="preserve">) </w:t>
      </w:r>
      <w:r>
        <w:rPr>
          <w:b w:val="0"/>
          <w:bCs w:val="0"/>
          <w:sz w:val="24"/>
        </w:rPr>
        <w:t xml:space="preserve">бытовой и промышленной техники и комплектующих к ней </w:t>
      </w:r>
      <w:r>
        <w:rPr>
          <w:b w:val="0"/>
          <w:bCs w:val="0"/>
          <w:sz w:val="24"/>
        </w:rPr>
        <w:t xml:space="preserve"> </w:t>
      </w:r>
      <w:r>
        <w:rPr>
          <w:b w:val="0"/>
          <w:bCs w:val="0"/>
          <w:sz w:val="24"/>
        </w:rPr>
        <w:t xml:space="preserve">для  нужд СП АО «ДГК» Хабаровский край, Приморский край, Амурская область, </w:t>
      </w:r>
      <w:r>
        <w:rPr>
          <w:b w:val="0"/>
          <w:bCs w:val="0"/>
        </w:rPr>
      </w:r>
      <w:r>
        <w:rPr>
          <w:b w:val="0"/>
          <w:bCs w:val="0"/>
          <w:sz w:val="24"/>
          <w:szCs w:val="24"/>
        </w:rPr>
      </w:r>
    </w:p>
    <w:p>
      <w:pPr>
        <w:pStyle w:val="843"/>
        <w:contextualSpacing/>
        <w:jc w:val="left"/>
        <w:spacing w:line="240" w:lineRule="auto"/>
        <w:rPr>
          <w:b/>
          <w:bCs/>
          <w:sz w:val="24"/>
          <w:szCs w:val="24"/>
        </w:rPr>
      </w:pPr>
      <w:r>
        <w:rPr>
          <w:b w:val="0"/>
          <w:bCs w:val="0"/>
          <w:sz w:val="24"/>
        </w:rPr>
        <w:t xml:space="preserve">Республика Саха (Якутия), ЕАО.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</w:rPr>
        <w:t xml:space="preserve">Лот №42016159</w:t>
      </w:r>
      <w:r>
        <w:rPr>
          <w:b w:val="0"/>
          <w:bCs w:val="0"/>
          <w:sz w:val="24"/>
        </w:rPr>
        <w:t xml:space="preserve">-ЭКСП ПРОД-2026-ДГК.</w:t>
      </w:r>
      <w:r>
        <w:rPr>
          <w:b w:val="0"/>
          <w:bCs w:val="0"/>
          <w:sz w:val="24"/>
        </w:rPr>
      </w:r>
      <w:r>
        <w:rPr>
          <w:b w:val="0"/>
          <w:bCs w:val="0"/>
          <w:sz w:val="24"/>
        </w:rPr>
      </w:r>
      <w:r>
        <w:rPr>
          <w:b w:val="0"/>
          <w:bCs w:val="0"/>
          <w:sz w:val="24"/>
          <w:szCs w:val="24"/>
        </w:rPr>
      </w:r>
    </w:p>
    <w:p>
      <w:pPr>
        <w:pStyle w:val="843"/>
        <w:spacing w:before="0" w:line="240" w:lineRule="auto"/>
        <w:rPr>
          <w:rStyle w:val="845"/>
          <w:b w:val="0"/>
          <w:i w:val="0"/>
          <w:sz w:val="24"/>
          <w:shd w:val="clear" w:color="auto" w:fill="auto"/>
        </w:rPr>
      </w:pPr>
      <w:r>
        <w:rPr>
          <w:b w:val="0"/>
          <w:i w:val="0"/>
          <w:sz w:val="24"/>
          <w:shd w:val="clear" w:color="auto" w:fill="auto"/>
        </w:rPr>
      </w:r>
      <w:r>
        <w:rPr>
          <w:rStyle w:val="845"/>
          <w:b w:val="0"/>
          <w:i w:val="0"/>
          <w:sz w:val="24"/>
          <w:shd w:val="clear" w:color="auto" w:fill="auto"/>
        </w:rPr>
      </w:r>
      <w:r>
        <w:rPr>
          <w:rStyle w:val="845"/>
          <w:b w:val="0"/>
          <w:i w:val="0"/>
          <w:sz w:val="24"/>
          <w:shd w:val="clear" w:color="auto" w:fill="auto"/>
        </w:rPr>
      </w:r>
    </w:p>
    <w:p>
      <w:pPr>
        <w:pStyle w:val="843"/>
        <w:spacing w:before="0" w:line="240" w:lineRule="auto"/>
        <w:rPr>
          <w:sz w:val="24"/>
        </w:rPr>
      </w:pPr>
      <w:r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10" w:tooltip="http://www.zakupki.gov.ru" w:history="1">
        <w:r>
          <w:rPr>
            <w:rStyle w:val="846"/>
            <w:sz w:val="24"/>
          </w:rPr>
          <w:t xml:space="preserve">www.zakupki.gov.ru</w:t>
        </w:r>
      </w:hyperlink>
      <w:r>
        <w:rPr>
          <w:sz w:val="24"/>
        </w:rPr>
        <w:t xml:space="preserve"> (далее — «ЕИС») от 16</w:t>
      </w:r>
      <w:r>
        <w:rPr>
          <w:sz w:val="24"/>
        </w:rPr>
        <w:t xml:space="preserve">  июля</w:t>
      </w:r>
      <w:r>
        <w:rPr>
          <w:sz w:val="24"/>
        </w:rPr>
        <w:t xml:space="preserve"> </w:t>
      </w:r>
      <w:r>
        <w:rPr>
          <w:sz w:val="24"/>
        </w:rPr>
        <w:t xml:space="preserve"> </w:t>
      </w:r>
      <w:r>
        <w:rPr>
          <w:sz w:val="24"/>
        </w:rPr>
        <w:t xml:space="preserve">2026</w:t>
      </w:r>
      <w:r>
        <w:rPr>
          <w:sz w:val="24"/>
        </w:rPr>
        <w:t xml:space="preserve">г. </w:t>
      </w:r>
      <w:r>
        <w:rPr>
          <w:sz w:val="24"/>
        </w:rPr>
        <w:t xml:space="preserve">под №</w:t>
      </w:r>
      <w:r>
        <w:rPr>
          <w:rStyle w:val="845"/>
          <w:b w:val="0"/>
          <w:i w:val="0"/>
          <w:sz w:val="24"/>
          <w:shd w:val="clear" w:color="auto" w:fill="auto"/>
        </w:rPr>
        <w:t xml:space="preserve"> 32616210044</w:t>
      </w:r>
      <w:r>
        <w:rPr>
          <w:sz w:val="24"/>
        </w:rPr>
      </w:r>
      <w:r>
        <w:rPr>
          <w:sz w:val="24"/>
        </w:rPr>
      </w:r>
    </w:p>
    <w:p>
      <w:pPr>
        <w:pStyle w:val="843"/>
        <w:spacing w:before="0"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843"/>
        <w:contextualSpacing/>
        <w:spacing w:before="0" w:line="240" w:lineRule="auto"/>
        <w:rPr>
          <w:b/>
          <w:bCs/>
          <w:sz w:val="24"/>
          <w:szCs w:val="24"/>
          <w:highlight w:val="none"/>
          <w:u w:val="single"/>
        </w:rPr>
      </w:pPr>
      <w:r>
        <w:rPr>
          <w:b/>
          <w:sz w:val="24"/>
          <w:u w:val="single"/>
        </w:rPr>
        <w:t xml:space="preserve">Внесены следующие изменения в Документацию о закупке:</w:t>
      </w:r>
      <w:r>
        <w:rPr>
          <w:b/>
          <w:bCs/>
          <w:sz w:val="24"/>
          <w:szCs w:val="24"/>
          <w:highlight w:val="none"/>
          <w:u w:val="single"/>
        </w:rPr>
      </w:r>
      <w:r>
        <w:rPr>
          <w:b/>
          <w:bCs/>
          <w:sz w:val="24"/>
          <w:szCs w:val="24"/>
          <w:highlight w:val="none"/>
          <w:u w:val="single"/>
        </w:rPr>
      </w:r>
    </w:p>
    <w:p>
      <w:pPr>
        <w:pStyle w:val="843"/>
        <w:contextualSpacing/>
        <w:spacing w:before="0" w:line="240" w:lineRule="auto"/>
        <w:rPr>
          <w:b/>
          <w:bCs/>
          <w:sz w:val="24"/>
          <w:szCs w:val="24"/>
          <w:highlight w:val="none"/>
          <w:u w:val="single"/>
        </w:rPr>
      </w:pPr>
      <w:r>
        <w:rPr>
          <w:b/>
          <w:sz w:val="24"/>
          <w:highlight w:val="none"/>
          <w:u w:val="none"/>
        </w:rPr>
        <w:t xml:space="preserve">1.</w:t>
      </w:r>
      <w:r>
        <w:rPr>
          <w:b w:val="0"/>
          <w:bCs w:val="0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ункты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1.2.17, 1.2.18, 1.2.20, 1.2.21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Документации о закупке читать в следующей редакции:</w:t>
      </w:r>
      <w:r>
        <w:rPr>
          <w:b/>
          <w:sz w:val="24"/>
          <w:highlight w:val="none"/>
          <w:u w:val="single"/>
        </w:rPr>
      </w:r>
      <w:r>
        <w:rPr>
          <w:b/>
          <w:bCs/>
          <w:sz w:val="24"/>
          <w:szCs w:val="24"/>
          <w:highlight w:val="none"/>
          <w:u w:val="single"/>
        </w:rPr>
      </w:r>
    </w:p>
    <w:tbl>
      <w:tblPr>
        <w:tblStyle w:val="854"/>
        <w:tblW w:w="98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62"/>
        <w:gridCol w:w="2914"/>
        <w:gridCol w:w="5734"/>
      </w:tblGrid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2" w:type="dxa"/>
            <w:vAlign w:val="center"/>
            <w:textDirection w:val="lrTb"/>
            <w:noWrap w:val="false"/>
          </w:tcPr>
          <w:p>
            <w:pPr>
              <w:contextualSpacing/>
              <w:ind w:left="-108" w:firstLine="0"/>
              <w:jc w:val="center"/>
              <w:spacing w:before="0" w:beforeAutospacing="0" w:after="0" w:afterAutospacing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1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before="0" w:beforeAutospacing="0" w:after="0" w:afterAutospacing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3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before="0" w:beforeAutospacing="0" w:after="0" w:afterAutospacing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Информация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2" w:type="dxa"/>
            <w:vAlign w:val="center"/>
            <w:textDirection w:val="lrTb"/>
            <w:noWrap w:val="false"/>
          </w:tcPr>
          <w:p>
            <w:pPr>
              <w:contextualSpacing/>
              <w:ind w:left="-108" w:firstLine="0"/>
              <w:jc w:val="left"/>
              <w:spacing w:before="0" w:beforeAutospacing="0" w:after="0" w:afterAutospacing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1.2.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14" w:type="dxa"/>
            <w:textDirection w:val="lrTb"/>
            <w:noWrap w:val="false"/>
          </w:tcPr>
          <w:p>
            <w:pPr>
              <w:pStyle w:val="855"/>
              <w:contextualSpacing/>
              <w:jc w:val="left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начала</w:t>
            </w:r>
            <w:r>
              <w:rPr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  <w:t xml:space="preserve"> дата и время окончания срока подачи заявок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56"/>
              <w:contextualSpacing/>
              <w:jc w:val="left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34" w:type="dxa"/>
            <w:textDirection w:val="lrTb"/>
            <w:noWrap w:val="false"/>
          </w:tcPr>
          <w:p>
            <w:pPr>
              <w:pStyle w:val="855"/>
              <w:contextualSpacing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начала подачи заявок: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55"/>
              <w:contextualSpacing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«16»</w:t>
            </w:r>
            <w:r>
              <w:rPr>
                <w:sz w:val="24"/>
                <w:szCs w:val="24"/>
              </w:rPr>
              <w:t xml:space="preserve"> июля 2026 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55"/>
              <w:contextualSpacing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и время окончания срока подачи заявок: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55"/>
              <w:contextualSpacing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«30»</w:t>
            </w:r>
            <w:r>
              <w:rPr>
                <w:b w:val="0"/>
                <w:bCs w:val="0"/>
                <w:sz w:val="24"/>
                <w:szCs w:val="24"/>
              </w:rPr>
              <w:t xml:space="preserve"> июля </w:t>
            </w:r>
            <w:r>
              <w:rPr>
                <w:b w:val="0"/>
                <w:bCs w:val="0"/>
                <w:sz w:val="24"/>
                <w:szCs w:val="24"/>
              </w:rPr>
              <w:t xml:space="preserve"> 2026 г. в 16 ч. 00 мин.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(по местному времени Организатора).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2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ind w:left="-108" w:firstLine="0"/>
              <w:jc w:val="left"/>
              <w:spacing w:before="0" w:beforeAutospacing="0" w:after="0" w:afterAutospacing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1.2.18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14" w:type="dxa"/>
            <w:vMerge w:val="restart"/>
            <w:textDirection w:val="lrTb"/>
            <w:noWrap w:val="false"/>
          </w:tcPr>
          <w:p>
            <w:pPr>
              <w:pStyle w:val="855"/>
              <w:contextualSpacing/>
              <w:jc w:val="left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предоставления Участникам разъяснений Документаций о закупке: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34" w:type="dxa"/>
            <w:vMerge w:val="restart"/>
            <w:textDirection w:val="lrTb"/>
            <w:noWrap w:val="false"/>
          </w:tcPr>
          <w:p>
            <w:pPr>
              <w:pStyle w:val="855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и время окончания срока предоставления разъяснений: </w:t>
            </w:r>
            <w:r>
              <w:rPr>
                <w:sz w:val="24"/>
                <w:szCs w:val="24"/>
              </w:rPr>
              <w:t xml:space="preserve">«30» июля 2026 г. в 16 ч. 00 мин.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</w:t>
            </w:r>
            <w:r>
              <w:rPr>
                <w:sz w:val="24"/>
                <w:szCs w:val="24"/>
              </w:rPr>
              <w:t xml:space="preserve">по местному времени Организатора</w:t>
            </w:r>
            <w:r>
              <w:rPr>
                <w:sz w:val="24"/>
                <w:szCs w:val="24"/>
              </w:rPr>
              <w:t xml:space="preserve">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55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Организатор вправе не предоставлять разъяснение, если запрос от Участника поступил позднее чем за 3 (три) рабочих дня до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даты окончания срока подачи заявок, установленной в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пункте 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_Ref125360779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1.2.17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2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ind w:left="0" w:firstLine="0"/>
              <w:jc w:val="left"/>
              <w:spacing w:before="0" w:beforeAutospacing="0" w:after="0" w:afterAutospacing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1.2.20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14" w:type="dxa"/>
            <w:vMerge w:val="restart"/>
            <w:textDirection w:val="lrTb"/>
            <w:noWrap w:val="false"/>
          </w:tcPr>
          <w:p>
            <w:pPr>
              <w:pStyle w:val="85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</w:t>
            </w:r>
            <w:r>
              <w:rPr>
                <w:sz w:val="24"/>
                <w:szCs w:val="24"/>
              </w:rPr>
              <w:t xml:space="preserve">окончания </w:t>
            </w:r>
            <w:r>
              <w:rPr>
                <w:sz w:val="24"/>
                <w:szCs w:val="24"/>
              </w:rPr>
              <w:t xml:space="preserve">рассмотрения заявок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56"/>
              <w:contextualSpacing/>
              <w:jc w:val="left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34" w:type="dxa"/>
            <w:vMerge w:val="restart"/>
            <w:textDirection w:val="lrTb"/>
            <w:noWrap w:val="false"/>
          </w:tcPr>
          <w:p>
            <w:pPr>
              <w:pStyle w:val="855"/>
              <w:contextualSpacing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и время окончания срока предоставления разъяснений: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55"/>
              <w:contextualSpacing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«12» августа 2026г. в 16 ч. 00 мин. </w:t>
            </w:r>
            <w:r>
              <w:rPr>
                <w:sz w:val="24"/>
                <w:szCs w:val="24"/>
              </w:rPr>
              <w:t xml:space="preserve">(по местному времени Организатора).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55"/>
              <w:contextualSpacing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Организатор вправе не предоставлять разъяснение </w:t>
            </w:r>
            <w:r>
              <w:rPr>
                <w:sz w:val="24"/>
                <w:szCs w:val="24"/>
              </w:rPr>
              <w:t xml:space="preserve">е</w:t>
            </w:r>
            <w:r>
              <w:rPr>
                <w:sz w:val="24"/>
                <w:szCs w:val="24"/>
              </w:rPr>
              <w:t xml:space="preserve">сли запрос от Участника поступил позднее чем за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3 (три) рабочих дня до даты окончания срока подачи заявок, установленной в пункте 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_Ref125360779 \r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1.2.18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22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2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ind w:left="-108" w:firstLine="0"/>
              <w:jc w:val="left"/>
              <w:spacing w:before="0" w:beforeAutospacing="0" w:after="0" w:afterAutospacing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1.2.21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14" w:type="dxa"/>
            <w:vMerge w:val="restart"/>
            <w:textDirection w:val="lrTb"/>
            <w:noWrap w:val="false"/>
          </w:tcPr>
          <w:p>
            <w:pPr>
              <w:pStyle w:val="85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подведения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итогов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закупки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34" w:type="dxa"/>
            <w:vMerge w:val="restart"/>
            <w:textDirection w:val="lrTb"/>
            <w:noWrap w:val="false"/>
          </w:tcPr>
          <w:p>
            <w:pPr>
              <w:pStyle w:val="855"/>
              <w:contextualSpacing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«12» августа 2026 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contextualSpacing/>
              <w:ind w:left="0" w:right="0" w:firstLine="0"/>
              <w:jc w:val="both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contextualSpacing/>
        <w:ind w:firstLine="0"/>
        <w:spacing w:line="240" w:lineRule="auto"/>
        <w:tabs>
          <w:tab w:val="left" w:pos="567" w:leader="none"/>
        </w:tabs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2.</w:t>
      </w:r>
      <w:r>
        <w:rPr>
          <w:b w:val="0"/>
          <w:bCs w:val="0"/>
          <w:sz w:val="24"/>
          <w:szCs w:val="24"/>
        </w:rPr>
        <w:t xml:space="preserve">П</w:t>
      </w:r>
      <w:r>
        <w:rPr>
          <w:b w:val="0"/>
          <w:bCs w:val="0"/>
          <w:sz w:val="24"/>
          <w:szCs w:val="24"/>
        </w:rPr>
        <w:t xml:space="preserve">ункты 19,48,57,73,94,126 </w:t>
      </w:r>
      <w:r>
        <w:rPr>
          <w:sz w:val="24"/>
          <w:szCs w:val="24"/>
        </w:rPr>
        <w:t xml:space="preserve">Приложения №1 к Техническим требованиям (таблица 1.1  (xlsx)) Приложение №1 к ДоЗ</w:t>
      </w:r>
      <w:r>
        <w:rPr>
          <w:b/>
          <w:bCs/>
          <w:sz w:val="24"/>
          <w:szCs w:val="24"/>
        </w:rPr>
        <w:t xml:space="preserve"> - </w:t>
      </w:r>
      <w:r>
        <w:rPr>
          <w:sz w:val="24"/>
          <w:szCs w:val="24"/>
        </w:rPr>
        <w:t xml:space="preserve"> ТЕХНИЧЕСКИЕ ТРЕБОВАНИЯ</w:t>
      </w:r>
      <w:r>
        <w:rPr>
          <w:sz w:val="24"/>
          <w:szCs w:val="24"/>
        </w:rPr>
        <w:t xml:space="preserve">, читать в измененной редакции согласно приложению № 2 к настоящему Уведомлению.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jc w:val="left"/>
        <w:spacing w:after="200" w:line="276" w:lineRule="auto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contextualSpacing/>
        <w:ind w:firstLine="0"/>
        <w:jc w:val="left"/>
        <w:spacing w:after="200" w:line="276" w:lineRule="auto"/>
        <w:rPr>
          <w:rFonts w:eastAsia="Calibri"/>
          <w:sz w:val="24"/>
          <w:szCs w:val="24"/>
          <w:highlight w:val="none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Приложения: </w:t>
      </w: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</w:r>
    </w:p>
    <w:p>
      <w:pPr>
        <w:contextualSpacing/>
        <w:ind w:firstLine="0"/>
        <w:jc w:val="left"/>
        <w:spacing w:after="200" w:line="240" w:lineRule="auto"/>
        <w:rPr>
          <w:rFonts w:eastAsia="Calibri"/>
          <w:b w:val="0"/>
          <w:bCs w:val="0"/>
          <w:sz w:val="24"/>
          <w:szCs w:val="24"/>
          <w:highlight w:val="none"/>
        </w:rPr>
      </w:pPr>
      <w:r>
        <w:rPr>
          <w:rFonts w:eastAsia="Calibri"/>
          <w:b/>
          <w:bCs/>
          <w:sz w:val="24"/>
          <w:szCs w:val="24"/>
          <w:highlight w:val="none"/>
          <w:lang w:eastAsia="en-US"/>
        </w:rPr>
        <w:t xml:space="preserve">1. </w:t>
      </w:r>
      <w:r>
        <w:rPr>
          <w:rFonts w:eastAsia="Calibri"/>
          <w:b w:val="0"/>
          <w:bCs w:val="0"/>
          <w:sz w:val="24"/>
          <w:szCs w:val="24"/>
          <w:highlight w:val="none"/>
          <w:lang w:eastAsia="en-US"/>
        </w:rPr>
        <w:t xml:space="preserve">Приложение №1 к Уведомлению о внесении изменений </w:t>
      </w:r>
      <w:r>
        <w:rPr>
          <w:rFonts w:eastAsia="Calibri"/>
          <w:b/>
          <w:bCs/>
          <w:sz w:val="24"/>
          <w:szCs w:val="24"/>
          <w:highlight w:val="none"/>
          <w:lang w:eastAsia="en-US"/>
        </w:rPr>
        <w:t xml:space="preserve">–</w:t>
      </w:r>
      <w:r>
        <w:rPr>
          <w:rFonts w:eastAsia="Calibri"/>
          <w:b/>
          <w:bCs/>
          <w:sz w:val="24"/>
          <w:szCs w:val="24"/>
          <w:highlight w:val="none"/>
          <w:lang w:eastAsia="en-US"/>
        </w:rPr>
        <w:t xml:space="preserve"> </w:t>
      </w:r>
      <w:r>
        <w:rPr>
          <w:rFonts w:eastAsia="Calibri"/>
          <w:b w:val="0"/>
          <w:bCs w:val="0"/>
          <w:sz w:val="24"/>
          <w:szCs w:val="24"/>
          <w:highlight w:val="none"/>
          <w:lang w:eastAsia="en-US"/>
        </w:rPr>
        <w:t xml:space="preserve">ДОКУМЕНТАЦИЯ О ЗАКУПКЕ</w:t>
      </w:r>
      <w:r>
        <w:rPr>
          <w:rFonts w:eastAsia="Calibri"/>
          <w:b w:val="0"/>
          <w:bCs w:val="0"/>
          <w:sz w:val="24"/>
          <w:szCs w:val="24"/>
          <w:highlight w:val="none"/>
          <w:lang w:eastAsia="en-US"/>
        </w:rPr>
        <w:t xml:space="preserve">. </w:t>
      </w:r>
      <w:r>
        <w:rPr>
          <w:rFonts w:eastAsia="Calibri"/>
          <w:b w:val="0"/>
          <w:bCs w:val="0"/>
          <w:sz w:val="24"/>
          <w:szCs w:val="24"/>
          <w:highlight w:val="none"/>
        </w:rPr>
      </w:r>
      <w:r>
        <w:rPr>
          <w:rFonts w:eastAsia="Calibri"/>
          <w:b w:val="0"/>
          <w:bCs w:val="0"/>
          <w:sz w:val="24"/>
          <w:szCs w:val="24"/>
          <w:highlight w:val="none"/>
        </w:rPr>
      </w:r>
    </w:p>
    <w:p>
      <w:pPr>
        <w:contextualSpacing/>
        <w:ind w:firstLine="0"/>
        <w:jc w:val="left"/>
        <w:spacing w:after="200" w:line="240" w:lineRule="auto"/>
        <w:rPr>
          <w:rFonts w:eastAsia="Calibri"/>
          <w:b w:val="0"/>
          <w:bCs w:val="0"/>
          <w:sz w:val="24"/>
          <w:szCs w:val="24"/>
          <w:highlight w:val="none"/>
        </w:rPr>
      </w:pPr>
      <w:r>
        <w:rPr>
          <w:rFonts w:eastAsia="Calibri"/>
          <w:b/>
          <w:bCs/>
          <w:sz w:val="24"/>
          <w:szCs w:val="24"/>
          <w:highlight w:val="none"/>
          <w:lang w:eastAsia="en-US"/>
        </w:rPr>
        <w:t xml:space="preserve">2.</w:t>
      </w:r>
      <w:r>
        <w:rPr>
          <w:rFonts w:eastAsia="Calibri"/>
          <w:b w:val="0"/>
          <w:bCs w:val="0"/>
          <w:sz w:val="24"/>
          <w:szCs w:val="24"/>
          <w:highlight w:val="none"/>
          <w:lang w:eastAsia="en-US"/>
        </w:rPr>
        <w:t xml:space="preserve">Приложение №2 к Уведомлению о внесении изменений </w:t>
      </w:r>
      <w:r>
        <w:rPr>
          <w:rFonts w:eastAsia="Calibri"/>
          <w:b/>
          <w:bCs/>
          <w:sz w:val="24"/>
          <w:szCs w:val="24"/>
          <w:highlight w:val="none"/>
          <w:lang w:eastAsia="en-US"/>
        </w:rPr>
        <w:t xml:space="preserve">-  </w:t>
      </w:r>
      <w:r>
        <w:rPr>
          <w:rFonts w:eastAsia="Calibri"/>
          <w:b w:val="0"/>
          <w:bCs w:val="0"/>
          <w:sz w:val="24"/>
          <w:szCs w:val="24"/>
          <w:highlight w:val="none"/>
          <w:lang w:eastAsia="en-US"/>
        </w:rPr>
        <w:t xml:space="preserve">ТЕХНИЧЕСКИЕ ТРЕБОВАНИЯ</w:t>
      </w:r>
      <w:r>
        <w:rPr>
          <w:rFonts w:eastAsia="Calibri"/>
          <w:b w:val="0"/>
          <w:bCs w:val="0"/>
          <w:sz w:val="24"/>
          <w:szCs w:val="24"/>
          <w:highlight w:val="none"/>
          <w:lang w:eastAsia="en-US"/>
        </w:rPr>
        <w:t xml:space="preserve">. </w:t>
      </w:r>
      <w:r>
        <w:rPr>
          <w:rFonts w:eastAsia="Calibri"/>
          <w:b w:val="0"/>
          <w:bCs w:val="0"/>
          <w:sz w:val="24"/>
          <w:szCs w:val="24"/>
          <w:highlight w:val="none"/>
        </w:rPr>
      </w:r>
      <w:r>
        <w:rPr>
          <w:rFonts w:eastAsia="Calibri"/>
          <w:b w:val="0"/>
          <w:bCs w:val="0"/>
          <w:sz w:val="24"/>
          <w:szCs w:val="24"/>
          <w:highlight w:val="none"/>
        </w:rPr>
      </w:r>
    </w:p>
    <w:p>
      <w:pPr>
        <w:ind w:left="0" w:firstLine="0"/>
        <w:jc w:val="left"/>
        <w:spacing w:line="240" w:lineRule="auto"/>
        <w:rPr>
          <w:b/>
          <w:bCs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34" w:hanging="11"/>
        <w:jc w:val="center"/>
        <w:spacing w:line="240" w:lineRule="auto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</w:rPr>
        <w:t xml:space="preserve">ЛИСТ СОГЛАСОВАНИЯ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left="0" w:firstLine="0"/>
        <w:jc w:val="left"/>
        <w:spacing w:line="240" w:lineRule="auto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tbl>
      <w:tblPr>
        <w:tblW w:w="9780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976"/>
        <w:gridCol w:w="1701"/>
        <w:gridCol w:w="1701"/>
        <w:gridCol w:w="1701"/>
      </w:tblGrid>
      <w:tr>
        <w:tblPrEx/>
        <w:trPr>
          <w:trHeight w:val="300"/>
        </w:trPr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3"/>
                <w:szCs w:val="23"/>
                <w:lang w:eastAsia="ru-RU"/>
              </w:rPr>
              <w:t xml:space="preserve">ФИО</w:t>
            </w:r>
            <w:r>
              <w:rPr>
                <w:rFonts w:ascii="Times New Roman" w:hAnsi="Times New Roman" w:eastAsia="Times New Roman" w:cs="Times New Roman"/>
                <w:b/>
                <w:bCs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3"/>
                <w:szCs w:val="23"/>
              </w:rPr>
            </w:r>
          </w:p>
        </w:tc>
        <w:tc>
          <w:tcPr>
            <w:tcW w:w="2976" w:type="dxa"/>
            <w:vAlign w:val="center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3"/>
                <w:szCs w:val="23"/>
                <w:lang w:eastAsia="ru-RU"/>
              </w:rPr>
              <w:t xml:space="preserve">Должность</w:t>
            </w:r>
            <w:r>
              <w:rPr>
                <w:rFonts w:ascii="Times New Roman" w:hAnsi="Times New Roman" w:eastAsia="Times New Roman" w:cs="Times New Roman"/>
                <w:b/>
                <w:bCs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3"/>
                <w:szCs w:val="23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3"/>
                <w:szCs w:val="23"/>
                <w:lang w:eastAsia="ru-RU"/>
              </w:rPr>
              <w:t xml:space="preserve">        Дата передачи </w:t>
            </w:r>
            <w:r>
              <w:rPr>
                <w:rFonts w:ascii="Times New Roman" w:hAnsi="Times New Roman" w:eastAsia="Times New Roman" w:cs="Times New Roman"/>
                <w:b/>
                <w:bCs/>
                <w:sz w:val="23"/>
                <w:szCs w:val="23"/>
                <w:lang w:eastAsia="ru-RU"/>
              </w:rPr>
              <w:t xml:space="preserve">на согласование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3"/>
                <w:szCs w:val="23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3"/>
                <w:szCs w:val="23"/>
                <w:lang w:eastAsia="ru-RU"/>
              </w:rPr>
              <w:t xml:space="preserve">      Дата окончания согласования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3"/>
                <w:szCs w:val="23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3"/>
                <w:szCs w:val="23"/>
                <w:lang w:eastAsia="ru-RU"/>
              </w:rPr>
              <w:t xml:space="preserve">    Подпись согласующего</w:t>
            </w:r>
            <w:r>
              <w:rPr>
                <w:rFonts w:ascii="Times New Roman" w:hAnsi="Times New Roman" w:eastAsia="Times New Roman" w:cs="Times New Roman"/>
                <w:b/>
                <w:bCs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3"/>
                <w:szCs w:val="23"/>
              </w:rPr>
            </w:r>
          </w:p>
        </w:tc>
      </w:tr>
      <w:tr>
        <w:tblPrEx/>
        <w:trPr>
          <w:trHeight w:val="409"/>
        </w:trPr>
        <w:tc>
          <w:tcPr>
            <w:gridSpan w:val="5"/>
            <w:tcW w:w="9780" w:type="dxa"/>
            <w:vAlign w:val="center"/>
            <w:textDirection w:val="lrTb"/>
            <w:noWrap w:val="false"/>
          </w:tcPr>
          <w:p>
            <w:pPr>
              <w:ind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Руководитель отдела закупок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865"/>
        </w:trPr>
        <w:tc>
          <w:tcPr>
            <w:tcW w:w="1701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Клышко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Р.А.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297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Начальник отдела 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</w:p>
          <w:p>
            <w:pPr>
              <w:ind w:firstLine="0"/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проведения закупок  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</w:p>
          <w:p>
            <w:pPr>
              <w:ind w:firstLine="0"/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материалов и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оборудования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77"/>
        </w:trPr>
        <w:tc>
          <w:tcPr>
            <w:gridSpan w:val="5"/>
            <w:tcW w:w="9780" w:type="dxa"/>
            <w:vAlign w:val="center"/>
            <w:textDirection w:val="lrTb"/>
            <w:noWrap w:val="false"/>
          </w:tcPr>
          <w:p>
            <w:pPr>
              <w:ind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Иные согласующие лица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865"/>
        </w:trPr>
        <w:tc>
          <w:tcPr>
            <w:tcW w:w="1701" w:type="dxa"/>
            <w:vAlign w:val="center"/>
            <w:textDirection w:val="lrTb"/>
            <w:noWrap w:val="false"/>
          </w:tcPr>
          <w:p>
            <w:pPr>
              <w:ind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Качан  А. 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2976" w:type="dxa"/>
            <w:vAlign w:val="center"/>
            <w:textDirection w:val="lrTb"/>
            <w:noWrap w:val="false"/>
          </w:tcPr>
          <w:p>
            <w:pPr>
              <w:ind w:firstLine="0"/>
              <w:spacing w:after="0" w:line="240" w:lineRule="auto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Начальник управления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</w:p>
          <w:p>
            <w:pPr>
              <w:ind w:firstLine="0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материально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технического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обеспечения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683"/>
        </w:trPr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Гузар Е.Ю.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2976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Начальник управления закупок</w:t>
            </w:r>
            <w:r>
              <w:rPr>
                <w:rFonts w:ascii="Times New Roman" w:hAnsi="Times New Roman" w:eastAsia="Times New Roman" w:cs="Times New Roman"/>
                <w:bCs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Cs/>
                <w:sz w:val="26"/>
                <w:szCs w:val="26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</w:tbl>
    <w:p>
      <w:pPr>
        <w:ind w:left="0" w:firstLine="0"/>
        <w:jc w:val="left"/>
        <w:spacing w:line="240" w:lineRule="auto"/>
        <w:tabs>
          <w:tab w:val="right" w:pos="936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426" w:hanging="141"/>
        <w:jc w:val="left"/>
        <w:spacing w:line="240" w:lineRule="auto"/>
        <w:tabs>
          <w:tab w:val="right" w:pos="93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426" w:right="0" w:firstLine="1"/>
        <w:jc w:val="left"/>
        <w:spacing w:line="240" w:lineRule="auto"/>
        <w:tabs>
          <w:tab w:val="right" w:pos="9360" w:leader="none"/>
        </w:tabs>
        <w:rPr>
          <w:b/>
          <w:bCs/>
          <w:caps/>
          <w:color w:val="000000"/>
          <w:sz w:val="24"/>
          <w:szCs w:val="24"/>
        </w:rPr>
      </w:pPr>
      <w:r>
        <w:rPr>
          <w:sz w:val="24"/>
          <w:szCs w:val="24"/>
        </w:rPr>
        <w:t xml:space="preserve">       Ответственный секретарь закупочной комиссии</w:t>
      </w:r>
      <w:r>
        <w:rPr>
          <w:b/>
          <w:caps/>
          <w:color w:val="000000"/>
          <w:sz w:val="24"/>
          <w:szCs w:val="24"/>
        </w:rPr>
        <w:t xml:space="preserve"> </w:t>
      </w:r>
      <w:r>
        <w:rPr>
          <w:b/>
          <w:bCs/>
          <w:caps/>
          <w:color w:val="000000"/>
          <w:sz w:val="24"/>
          <w:szCs w:val="24"/>
        </w:rPr>
      </w:r>
      <w:r>
        <w:rPr>
          <w:b/>
          <w:bCs/>
          <w:caps/>
          <w:color w:val="000000"/>
          <w:sz w:val="24"/>
          <w:szCs w:val="24"/>
        </w:rPr>
      </w:r>
    </w:p>
    <w:p>
      <w:pPr>
        <w:ind w:left="-426" w:right="0" w:firstLine="1"/>
        <w:jc w:val="left"/>
        <w:spacing w:line="240" w:lineRule="auto"/>
        <w:tabs>
          <w:tab w:val="right" w:pos="9360" w:leader="none"/>
        </w:tabs>
        <w:rPr>
          <w:sz w:val="24"/>
          <w:szCs w:val="24"/>
        </w:rPr>
      </w:pPr>
      <w:r>
        <w:rPr>
          <w:caps/>
          <w:color w:val="000000"/>
          <w:sz w:val="24"/>
          <w:szCs w:val="24"/>
        </w:rPr>
        <w:t xml:space="preserve">       АО «ДГК» </w:t>
      </w:r>
      <w:r>
        <w:rPr>
          <w:sz w:val="24"/>
          <w:szCs w:val="24"/>
        </w:rPr>
        <w:t xml:space="preserve">1-го уровня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426" w:right="0" w:firstLine="1"/>
        <w:jc w:val="left"/>
        <w:spacing w:line="240" w:lineRule="auto"/>
        <w:tabs>
          <w:tab w:val="left" w:pos="8080" w:leader="none"/>
          <w:tab w:val="right" w:pos="93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Ведущий специалист отдела проведения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426" w:right="0" w:firstLine="1"/>
        <w:jc w:val="left"/>
        <w:spacing w:line="240" w:lineRule="auto"/>
        <w:tabs>
          <w:tab w:val="left" w:pos="8080" w:leader="none"/>
          <w:tab w:val="right" w:pos="93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закупок материалов и оборудования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426" w:right="0" w:firstLine="1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управления закупок АО «ДГК»                                                               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А.С. Сороколетова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firstLine="0"/>
        <w:jc w:val="left"/>
        <w:spacing w:line="240" w:lineRule="auto"/>
        <w:tabs>
          <w:tab w:val="right" w:pos="936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firstLine="0"/>
        <w:jc w:val="left"/>
        <w:spacing w:line="240" w:lineRule="auto"/>
        <w:tabs>
          <w:tab w:val="right" w:pos="936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firstLine="0"/>
        <w:jc w:val="left"/>
        <w:spacing w:line="240" w:lineRule="auto"/>
        <w:tabs>
          <w:tab w:val="right" w:pos="936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firstLine="0"/>
        <w:jc w:val="left"/>
        <w:spacing w:line="240" w:lineRule="auto"/>
        <w:tabs>
          <w:tab w:val="right" w:pos="936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426" w:hanging="141"/>
        <w:jc w:val="center"/>
        <w:spacing w:line="240" w:lineRule="auto"/>
        <w:rPr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Все остальные условия  Документации о</w:t>
      </w:r>
      <w:r>
        <w:rPr>
          <w:b/>
          <w:sz w:val="24"/>
          <w:szCs w:val="24"/>
          <w:u w:val="single"/>
        </w:rPr>
        <w:t xml:space="preserve"> закупке остаются без изменений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b w:val="0"/>
        <w:i w:val="0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pStyle w:val="844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decimal"/>
      <w:pStyle w:val="836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</w:lvl>
    <w:lvl w:ilvl="3">
      <w:start w:val="1"/>
      <w:numFmt w:val="decimal"/>
      <w:pStyle w:val="837"/>
      <w:isLgl w:val="false"/>
      <w:suff w:val="tab"/>
      <w:lvlText w:val="%1.%2.%3.%4"/>
      <w:lvlJc w:val="left"/>
      <w:pPr>
        <w:ind w:left="1701" w:hanging="1134"/>
        <w:tabs>
          <w:tab w:val="num" w:pos="170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62">
    <w:name w:val="Heading 1 Char"/>
    <w:basedOn w:val="838"/>
    <w:link w:val="835"/>
    <w:uiPriority w:val="9"/>
    <w:rPr>
      <w:rFonts w:ascii="Arial" w:hAnsi="Arial" w:eastAsia="Arial" w:cs="Arial"/>
      <w:sz w:val="40"/>
      <w:szCs w:val="40"/>
    </w:rPr>
  </w:style>
  <w:style w:type="paragraph" w:styleId="663">
    <w:name w:val="Heading 2"/>
    <w:basedOn w:val="834"/>
    <w:next w:val="834"/>
    <w:link w:val="66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4">
    <w:name w:val="Heading 2 Char"/>
    <w:basedOn w:val="838"/>
    <w:link w:val="663"/>
    <w:uiPriority w:val="9"/>
    <w:rPr>
      <w:rFonts w:ascii="Arial" w:hAnsi="Arial" w:eastAsia="Arial" w:cs="Arial"/>
      <w:sz w:val="34"/>
    </w:rPr>
  </w:style>
  <w:style w:type="character" w:styleId="665">
    <w:name w:val="Heading 3 Char"/>
    <w:basedOn w:val="838"/>
    <w:link w:val="836"/>
    <w:uiPriority w:val="9"/>
    <w:rPr>
      <w:rFonts w:ascii="Arial" w:hAnsi="Arial" w:eastAsia="Arial" w:cs="Arial"/>
      <w:sz w:val="30"/>
      <w:szCs w:val="30"/>
    </w:rPr>
  </w:style>
  <w:style w:type="character" w:styleId="666">
    <w:name w:val="Heading 4 Char"/>
    <w:basedOn w:val="838"/>
    <w:link w:val="837"/>
    <w:uiPriority w:val="9"/>
    <w:rPr>
      <w:rFonts w:ascii="Arial" w:hAnsi="Arial" w:eastAsia="Arial" w:cs="Arial"/>
      <w:b/>
      <w:bCs/>
      <w:sz w:val="26"/>
      <w:szCs w:val="26"/>
    </w:rPr>
  </w:style>
  <w:style w:type="paragraph" w:styleId="667">
    <w:name w:val="Heading 5"/>
    <w:basedOn w:val="834"/>
    <w:next w:val="834"/>
    <w:link w:val="66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8">
    <w:name w:val="Heading 5 Char"/>
    <w:basedOn w:val="838"/>
    <w:link w:val="667"/>
    <w:uiPriority w:val="9"/>
    <w:rPr>
      <w:rFonts w:ascii="Arial" w:hAnsi="Arial" w:eastAsia="Arial" w:cs="Arial"/>
      <w:b/>
      <w:bCs/>
      <w:sz w:val="24"/>
      <w:szCs w:val="24"/>
    </w:rPr>
  </w:style>
  <w:style w:type="paragraph" w:styleId="669">
    <w:name w:val="Heading 6"/>
    <w:basedOn w:val="834"/>
    <w:next w:val="834"/>
    <w:link w:val="67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0">
    <w:name w:val="Heading 6 Char"/>
    <w:basedOn w:val="838"/>
    <w:link w:val="669"/>
    <w:uiPriority w:val="9"/>
    <w:rPr>
      <w:rFonts w:ascii="Arial" w:hAnsi="Arial" w:eastAsia="Arial" w:cs="Arial"/>
      <w:b/>
      <w:bCs/>
      <w:sz w:val="22"/>
      <w:szCs w:val="22"/>
    </w:rPr>
  </w:style>
  <w:style w:type="paragraph" w:styleId="671">
    <w:name w:val="Heading 7"/>
    <w:basedOn w:val="834"/>
    <w:next w:val="834"/>
    <w:link w:val="67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2">
    <w:name w:val="Heading 7 Char"/>
    <w:basedOn w:val="838"/>
    <w:link w:val="67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3">
    <w:name w:val="Heading 8"/>
    <w:basedOn w:val="834"/>
    <w:next w:val="834"/>
    <w:link w:val="67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4">
    <w:name w:val="Heading 8 Char"/>
    <w:basedOn w:val="838"/>
    <w:link w:val="673"/>
    <w:uiPriority w:val="9"/>
    <w:rPr>
      <w:rFonts w:ascii="Arial" w:hAnsi="Arial" w:eastAsia="Arial" w:cs="Arial"/>
      <w:i/>
      <w:iCs/>
      <w:sz w:val="22"/>
      <w:szCs w:val="22"/>
    </w:rPr>
  </w:style>
  <w:style w:type="paragraph" w:styleId="675">
    <w:name w:val="Heading 9"/>
    <w:basedOn w:val="834"/>
    <w:next w:val="834"/>
    <w:link w:val="67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6">
    <w:name w:val="Heading 9 Char"/>
    <w:basedOn w:val="838"/>
    <w:link w:val="675"/>
    <w:uiPriority w:val="9"/>
    <w:rPr>
      <w:rFonts w:ascii="Arial" w:hAnsi="Arial" w:eastAsia="Arial" w:cs="Arial"/>
      <w:i/>
      <w:iCs/>
      <w:sz w:val="21"/>
      <w:szCs w:val="21"/>
    </w:rPr>
  </w:style>
  <w:style w:type="paragraph" w:styleId="677">
    <w:name w:val="No Spacing"/>
    <w:uiPriority w:val="1"/>
    <w:qFormat/>
    <w:pPr>
      <w:spacing w:before="0" w:after="0" w:line="240" w:lineRule="auto"/>
    </w:pPr>
  </w:style>
  <w:style w:type="paragraph" w:styleId="678">
    <w:name w:val="Title"/>
    <w:basedOn w:val="834"/>
    <w:next w:val="834"/>
    <w:link w:val="67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9">
    <w:name w:val="Title Char"/>
    <w:basedOn w:val="838"/>
    <w:link w:val="678"/>
    <w:uiPriority w:val="10"/>
    <w:rPr>
      <w:sz w:val="48"/>
      <w:szCs w:val="48"/>
    </w:rPr>
  </w:style>
  <w:style w:type="paragraph" w:styleId="680">
    <w:name w:val="Subtitle"/>
    <w:basedOn w:val="834"/>
    <w:next w:val="834"/>
    <w:link w:val="681"/>
    <w:uiPriority w:val="11"/>
    <w:qFormat/>
    <w:pPr>
      <w:spacing w:before="200" w:after="200"/>
    </w:pPr>
    <w:rPr>
      <w:sz w:val="24"/>
      <w:szCs w:val="24"/>
    </w:rPr>
  </w:style>
  <w:style w:type="character" w:styleId="681">
    <w:name w:val="Subtitle Char"/>
    <w:basedOn w:val="838"/>
    <w:link w:val="680"/>
    <w:uiPriority w:val="11"/>
    <w:rPr>
      <w:sz w:val="24"/>
      <w:szCs w:val="24"/>
    </w:rPr>
  </w:style>
  <w:style w:type="paragraph" w:styleId="682">
    <w:name w:val="Quote"/>
    <w:basedOn w:val="834"/>
    <w:next w:val="834"/>
    <w:link w:val="683"/>
    <w:uiPriority w:val="29"/>
    <w:qFormat/>
    <w:pPr>
      <w:ind w:left="720" w:right="720"/>
    </w:pPr>
    <w:rPr>
      <w:i/>
    </w:rPr>
  </w:style>
  <w:style w:type="character" w:styleId="683">
    <w:name w:val="Quote Char"/>
    <w:link w:val="682"/>
    <w:uiPriority w:val="29"/>
    <w:rPr>
      <w:i/>
    </w:rPr>
  </w:style>
  <w:style w:type="paragraph" w:styleId="684">
    <w:name w:val="Intense Quote"/>
    <w:basedOn w:val="834"/>
    <w:next w:val="834"/>
    <w:link w:val="68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5">
    <w:name w:val="Intense Quote Char"/>
    <w:link w:val="684"/>
    <w:uiPriority w:val="30"/>
    <w:rPr>
      <w:i/>
    </w:rPr>
  </w:style>
  <w:style w:type="paragraph" w:styleId="686">
    <w:name w:val="Header"/>
    <w:basedOn w:val="834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Header Char"/>
    <w:basedOn w:val="838"/>
    <w:link w:val="686"/>
    <w:uiPriority w:val="99"/>
  </w:style>
  <w:style w:type="character" w:styleId="688">
    <w:name w:val="Footer Char"/>
    <w:basedOn w:val="838"/>
    <w:link w:val="852"/>
    <w:uiPriority w:val="99"/>
  </w:style>
  <w:style w:type="paragraph" w:styleId="689">
    <w:name w:val="Caption"/>
    <w:basedOn w:val="834"/>
    <w:next w:val="834"/>
    <w:link w:val="69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0">
    <w:name w:val="Caption Char"/>
    <w:basedOn w:val="689"/>
    <w:link w:val="852"/>
    <w:uiPriority w:val="99"/>
  </w:style>
  <w:style w:type="table" w:styleId="691">
    <w:name w:val="Table Grid"/>
    <w:basedOn w:val="83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Table Grid Light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3">
    <w:name w:val="Plain Table 1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2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>
    <w:name w:val="Plain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6">
    <w:name w:val="Plain Table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Plain Table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8">
    <w:name w:val="Grid Table 1 Light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4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0">
    <w:name w:val="Grid Table 4 - Accent 1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1">
    <w:name w:val="Grid Table 4 - Accent 2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2">
    <w:name w:val="Grid Table 4 - Accent 3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3">
    <w:name w:val="Grid Table 4 - Accent 4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4">
    <w:name w:val="Grid Table 4 - Accent 5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5">
    <w:name w:val="Grid Table 4 - Accent 6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6">
    <w:name w:val="Grid Table 5 Dark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3">
    <w:name w:val="Grid Table 6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4">
    <w:name w:val="Grid Table 6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5">
    <w:name w:val="Grid Table 6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6">
    <w:name w:val="Grid Table 6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7">
    <w:name w:val="Grid Table 6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8">
    <w:name w:val="Grid Table 6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6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0">
    <w:name w:val="Grid Table 7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5">
    <w:name w:val="List Table 2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6">
    <w:name w:val="List Table 2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7">
    <w:name w:val="List Table 2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8">
    <w:name w:val="List Table 2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9">
    <w:name w:val="List Table 2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0">
    <w:name w:val="List Table 2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1">
    <w:name w:val="List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5 Dark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6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3">
    <w:name w:val="List Table 6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4">
    <w:name w:val="List Table 6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5">
    <w:name w:val="List Table 6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6">
    <w:name w:val="List Table 6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7">
    <w:name w:val="List Table 6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8">
    <w:name w:val="List Table 6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9">
    <w:name w:val="List Table 7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0">
    <w:name w:val="List Table 7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1">
    <w:name w:val="List Table 7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2">
    <w:name w:val="List Table 7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3">
    <w:name w:val="List Table 7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4">
    <w:name w:val="List Table 7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5">
    <w:name w:val="List Table 7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6">
    <w:name w:val="Lined - Accent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Lined - Accent 1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Lined - Accent 2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Lined - Accent 3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Lined - Accent 4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Lined - Accent 5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Lined - Accent 6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 &amp; Lined - Accent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4">
    <w:name w:val="Bordered &amp; Lined - Accent 1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5">
    <w:name w:val="Bordered &amp; Lined - Accent 2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6">
    <w:name w:val="Bordered &amp; Lined - Accent 3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7">
    <w:name w:val="Bordered &amp; Lined - Accent 4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8">
    <w:name w:val="Bordered &amp; Lined - Accent 5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9">
    <w:name w:val="Bordered &amp; Lined - Accent 6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0">
    <w:name w:val="Bordered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1">
    <w:name w:val="Bordered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2">
    <w:name w:val="Bordered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3">
    <w:name w:val="Bordered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4">
    <w:name w:val="Bordered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5">
    <w:name w:val="Bordered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6">
    <w:name w:val="Bordered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7">
    <w:name w:val="footnote text"/>
    <w:basedOn w:val="834"/>
    <w:link w:val="818"/>
    <w:uiPriority w:val="99"/>
    <w:semiHidden/>
    <w:unhideWhenUsed/>
    <w:pPr>
      <w:spacing w:after="40" w:line="240" w:lineRule="auto"/>
    </w:pPr>
    <w:rPr>
      <w:sz w:val="18"/>
    </w:rPr>
  </w:style>
  <w:style w:type="character" w:styleId="818">
    <w:name w:val="Footnote Text Char"/>
    <w:link w:val="817"/>
    <w:uiPriority w:val="99"/>
    <w:rPr>
      <w:sz w:val="18"/>
    </w:rPr>
  </w:style>
  <w:style w:type="character" w:styleId="819">
    <w:name w:val="footnote reference"/>
    <w:basedOn w:val="838"/>
    <w:uiPriority w:val="99"/>
    <w:unhideWhenUsed/>
    <w:rPr>
      <w:vertAlign w:val="superscript"/>
    </w:rPr>
  </w:style>
  <w:style w:type="paragraph" w:styleId="820">
    <w:name w:val="endnote text"/>
    <w:basedOn w:val="834"/>
    <w:link w:val="821"/>
    <w:uiPriority w:val="99"/>
    <w:semiHidden/>
    <w:unhideWhenUsed/>
    <w:pPr>
      <w:spacing w:after="0" w:line="240" w:lineRule="auto"/>
    </w:pPr>
    <w:rPr>
      <w:sz w:val="20"/>
    </w:rPr>
  </w:style>
  <w:style w:type="character" w:styleId="821">
    <w:name w:val="Endnote Text Char"/>
    <w:link w:val="820"/>
    <w:uiPriority w:val="99"/>
    <w:rPr>
      <w:sz w:val="20"/>
    </w:rPr>
  </w:style>
  <w:style w:type="character" w:styleId="822">
    <w:name w:val="endnote reference"/>
    <w:basedOn w:val="838"/>
    <w:uiPriority w:val="99"/>
    <w:semiHidden/>
    <w:unhideWhenUsed/>
    <w:rPr>
      <w:vertAlign w:val="superscript"/>
    </w:rPr>
  </w:style>
  <w:style w:type="paragraph" w:styleId="823">
    <w:name w:val="toc 1"/>
    <w:basedOn w:val="834"/>
    <w:next w:val="834"/>
    <w:uiPriority w:val="39"/>
    <w:unhideWhenUsed/>
    <w:pPr>
      <w:ind w:left="0" w:right="0" w:firstLine="0"/>
      <w:spacing w:after="57"/>
    </w:pPr>
  </w:style>
  <w:style w:type="paragraph" w:styleId="824">
    <w:name w:val="toc 2"/>
    <w:basedOn w:val="834"/>
    <w:next w:val="834"/>
    <w:uiPriority w:val="39"/>
    <w:unhideWhenUsed/>
    <w:pPr>
      <w:ind w:left="283" w:right="0" w:firstLine="0"/>
      <w:spacing w:after="57"/>
    </w:pPr>
  </w:style>
  <w:style w:type="paragraph" w:styleId="825">
    <w:name w:val="toc 3"/>
    <w:basedOn w:val="834"/>
    <w:next w:val="834"/>
    <w:uiPriority w:val="39"/>
    <w:unhideWhenUsed/>
    <w:pPr>
      <w:ind w:left="567" w:right="0" w:firstLine="0"/>
      <w:spacing w:after="57"/>
    </w:pPr>
  </w:style>
  <w:style w:type="paragraph" w:styleId="826">
    <w:name w:val="toc 4"/>
    <w:basedOn w:val="834"/>
    <w:next w:val="834"/>
    <w:uiPriority w:val="39"/>
    <w:unhideWhenUsed/>
    <w:pPr>
      <w:ind w:left="850" w:right="0" w:firstLine="0"/>
      <w:spacing w:after="57"/>
    </w:pPr>
  </w:style>
  <w:style w:type="paragraph" w:styleId="827">
    <w:name w:val="toc 5"/>
    <w:basedOn w:val="834"/>
    <w:next w:val="834"/>
    <w:uiPriority w:val="39"/>
    <w:unhideWhenUsed/>
    <w:pPr>
      <w:ind w:left="1134" w:right="0" w:firstLine="0"/>
      <w:spacing w:after="57"/>
    </w:pPr>
  </w:style>
  <w:style w:type="paragraph" w:styleId="828">
    <w:name w:val="toc 6"/>
    <w:basedOn w:val="834"/>
    <w:next w:val="834"/>
    <w:uiPriority w:val="39"/>
    <w:unhideWhenUsed/>
    <w:pPr>
      <w:ind w:left="1417" w:right="0" w:firstLine="0"/>
      <w:spacing w:after="57"/>
    </w:pPr>
  </w:style>
  <w:style w:type="paragraph" w:styleId="829">
    <w:name w:val="toc 7"/>
    <w:basedOn w:val="834"/>
    <w:next w:val="834"/>
    <w:uiPriority w:val="39"/>
    <w:unhideWhenUsed/>
    <w:pPr>
      <w:ind w:left="1701" w:right="0" w:firstLine="0"/>
      <w:spacing w:after="57"/>
    </w:pPr>
  </w:style>
  <w:style w:type="paragraph" w:styleId="830">
    <w:name w:val="toc 8"/>
    <w:basedOn w:val="834"/>
    <w:next w:val="834"/>
    <w:uiPriority w:val="39"/>
    <w:unhideWhenUsed/>
    <w:pPr>
      <w:ind w:left="1984" w:right="0" w:firstLine="0"/>
      <w:spacing w:after="57"/>
    </w:pPr>
  </w:style>
  <w:style w:type="paragraph" w:styleId="831">
    <w:name w:val="toc 9"/>
    <w:basedOn w:val="834"/>
    <w:next w:val="834"/>
    <w:uiPriority w:val="39"/>
    <w:unhideWhenUsed/>
    <w:pPr>
      <w:ind w:left="2268" w:right="0" w:firstLine="0"/>
      <w:spacing w:after="57"/>
    </w:pPr>
  </w:style>
  <w:style w:type="paragraph" w:styleId="832">
    <w:name w:val="TOC Heading"/>
    <w:uiPriority w:val="39"/>
    <w:unhideWhenUsed/>
  </w:style>
  <w:style w:type="paragraph" w:styleId="833">
    <w:name w:val="table of figures"/>
    <w:basedOn w:val="834"/>
    <w:next w:val="834"/>
    <w:uiPriority w:val="99"/>
    <w:unhideWhenUsed/>
    <w:pPr>
      <w:spacing w:after="0" w:afterAutospacing="0"/>
    </w:pPr>
  </w:style>
  <w:style w:type="paragraph" w:styleId="834" w:default="1">
    <w:name w:val="Normal"/>
    <w:qFormat/>
    <w:pPr>
      <w:ind w:firstLine="567"/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835">
    <w:name w:val="Heading 1"/>
    <w:basedOn w:val="834"/>
    <w:next w:val="834"/>
    <w:link w:val="847"/>
    <w:uiPriority w:val="9"/>
    <w:qFormat/>
    <w:pPr>
      <w:keepLines/>
      <w:keepNext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Cs w:val="28"/>
    </w:rPr>
  </w:style>
  <w:style w:type="paragraph" w:styleId="836">
    <w:name w:val="Heading 3"/>
    <w:basedOn w:val="834"/>
    <w:next w:val="834"/>
    <w:link w:val="841"/>
    <w:semiHidden/>
    <w:unhideWhenUsed/>
    <w:qFormat/>
    <w:pPr>
      <w:numPr>
        <w:ilvl w:val="2"/>
        <w:numId w:val="1"/>
      </w:numPr>
      <w:jc w:val="left"/>
      <w:keepNext/>
      <w:spacing w:before="120" w:after="120" w:line="240" w:lineRule="auto"/>
      <w:outlineLvl w:val="2"/>
    </w:pPr>
  </w:style>
  <w:style w:type="paragraph" w:styleId="837">
    <w:name w:val="Heading 4"/>
    <w:basedOn w:val="834"/>
    <w:next w:val="834"/>
    <w:link w:val="842"/>
    <w:semiHidden/>
    <w:unhideWhenUsed/>
    <w:qFormat/>
    <w:pPr>
      <w:numPr>
        <w:ilvl w:val="3"/>
        <w:numId w:val="1"/>
      </w:numPr>
      <w:ind w:left="1134"/>
      <w:keepNext/>
      <w:spacing w:before="240" w:after="120" w:line="240" w:lineRule="auto"/>
      <w:tabs>
        <w:tab w:val="num" w:pos="1134" w:leader="none"/>
      </w:tabs>
      <w:outlineLvl w:val="3"/>
    </w:pPr>
    <w:rPr>
      <w:i/>
    </w:rPr>
  </w:style>
  <w:style w:type="character" w:styleId="838" w:default="1">
    <w:name w:val="Default Paragraph Font"/>
    <w:uiPriority w:val="1"/>
    <w:unhideWhenUsed/>
  </w:style>
  <w:style w:type="table" w:styleId="83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0" w:default="1">
    <w:name w:val="No List"/>
    <w:uiPriority w:val="99"/>
    <w:semiHidden/>
    <w:unhideWhenUsed/>
  </w:style>
  <w:style w:type="character" w:styleId="841" w:customStyle="1">
    <w:name w:val="Заголовок 3 Знак"/>
    <w:basedOn w:val="838"/>
    <w:link w:val="836"/>
    <w:semiHidden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842" w:customStyle="1">
    <w:name w:val="Заголовок 4 Знак"/>
    <w:basedOn w:val="838"/>
    <w:link w:val="837"/>
    <w:semiHidden/>
    <w:rPr>
      <w:rFonts w:ascii="Times New Roman" w:hAnsi="Times New Roman" w:eastAsia="Times New Roman" w:cs="Times New Roman"/>
      <w:i/>
      <w:sz w:val="28"/>
      <w:szCs w:val="20"/>
      <w:lang w:eastAsia="ru-RU"/>
    </w:rPr>
  </w:style>
  <w:style w:type="paragraph" w:styleId="843">
    <w:name w:val="List Number"/>
    <w:basedOn w:val="834"/>
    <w:uiPriority w:val="99"/>
    <w:unhideWhenUsed/>
    <w:pPr>
      <w:ind w:firstLine="0"/>
      <w:spacing w:before="60"/>
    </w:pPr>
    <w:rPr>
      <w:szCs w:val="24"/>
    </w:rPr>
  </w:style>
  <w:style w:type="paragraph" w:styleId="844" w:customStyle="1">
    <w:name w:val="Стиль Заголовок 1 + по ширине"/>
    <w:basedOn w:val="835"/>
    <w:pPr>
      <w:numPr>
        <w:ilvl w:val="0"/>
        <w:numId w:val="1"/>
      </w:numPr>
      <w:ind w:left="0" w:firstLine="567"/>
      <w:spacing w:after="240" w:line="240" w:lineRule="auto"/>
      <w:tabs>
        <w:tab w:val="num" w:pos="360" w:leader="none"/>
        <w:tab w:val="clear" w:pos="567" w:leader="none"/>
      </w:tabs>
    </w:pPr>
    <w:rPr>
      <w:rFonts w:ascii="Arial" w:hAnsi="Arial" w:eastAsia="Times New Roman" w:cs="Times New Roman"/>
      <w:color w:val="auto"/>
      <w:sz w:val="40"/>
      <w:szCs w:val="20"/>
    </w:rPr>
  </w:style>
  <w:style w:type="character" w:styleId="845" w:customStyle="1">
    <w:name w:val="комментарий"/>
    <w:rPr>
      <w:b/>
      <w:bCs w:val="0"/>
      <w:i/>
      <w:iCs w:val="0"/>
      <w:shd w:val="clear" w:color="auto" w:fill="ffff99"/>
    </w:rPr>
  </w:style>
  <w:style w:type="character" w:styleId="846">
    <w:name w:val="Hyperlink"/>
    <w:basedOn w:val="838"/>
    <w:uiPriority w:val="99"/>
    <w:semiHidden/>
    <w:unhideWhenUsed/>
    <w:rPr>
      <w:color w:val="0000ff"/>
      <w:u w:val="single"/>
    </w:rPr>
  </w:style>
  <w:style w:type="character" w:styleId="847" w:customStyle="1">
    <w:name w:val="Заголовок 1 Знак"/>
    <w:basedOn w:val="838"/>
    <w:link w:val="835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848" w:customStyle="1">
    <w:name w:val="Table_header"/>
    <w:basedOn w:val="834"/>
    <w:pPr>
      <w:ind w:firstLine="0"/>
      <w:spacing w:before="120" w:line="240" w:lineRule="auto"/>
    </w:pPr>
    <w:rPr>
      <w:b/>
      <w:sz w:val="20"/>
      <w:szCs w:val="24"/>
    </w:rPr>
  </w:style>
  <w:style w:type="paragraph" w:styleId="849">
    <w:name w:val="Balloon Text"/>
    <w:basedOn w:val="834"/>
    <w:link w:val="850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styleId="850" w:customStyle="1">
    <w:name w:val="Текст выноски Знак"/>
    <w:basedOn w:val="838"/>
    <w:link w:val="849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851">
    <w:name w:val="List Paragraph"/>
    <w:basedOn w:val="834"/>
    <w:uiPriority w:val="34"/>
    <w:qFormat/>
    <w:pPr>
      <w:contextualSpacing/>
      <w:ind w:left="720"/>
    </w:pPr>
  </w:style>
  <w:style w:type="paragraph" w:styleId="852">
    <w:name w:val="Footer"/>
    <w:basedOn w:val="834"/>
    <w:link w:val="853"/>
    <w:uiPriority w:val="99"/>
    <w:semiHidden/>
    <w:unhideWhenUsed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853" w:customStyle="1">
    <w:name w:val="Нижний колонтитул Знак"/>
    <w:basedOn w:val="838"/>
    <w:link w:val="852"/>
    <w:uiPriority w:val="99"/>
    <w:semiHidden/>
    <w:rPr>
      <w:rFonts w:ascii="Times New Roman" w:hAnsi="Times New Roman" w:eastAsia="Times New Roman" w:cs="Times New Roman"/>
      <w:sz w:val="28"/>
      <w:szCs w:val="20"/>
      <w:lang w:eastAsia="ru-RU"/>
    </w:rPr>
  </w:style>
  <w:style w:type="table" w:styleId="854" w:customStyle="1">
    <w:name w:val="Сетка таблицы1"/>
    <w:uiPriority w:val="59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hint="default" w:asciiTheme="minorHAnsi" w:hAnsiTheme="minorHAnsi" w:eastAsiaTheme="minorHAnsi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  <w:tblPr>
      <w:tblStyleRowBandSize w:val="1"/>
      <w:tblStyleColBandSize w:val="1"/>
      <w:tblW w:w="0" w:type="auto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autofit"/>
      <w:tblCellMar>
        <w:left w:w="108" w:type="dxa"/>
        <w:top w:w="0" w:type="dxa"/>
        <w:right w:w="108" w:type="dxa"/>
        <w:bottom w:w="0" w:type="dxa"/>
      </w:tblCellMar>
    </w:tblPr>
    <w:trPr>
      <w:cantSplit w:val="false"/>
      <w:jc w:val="left"/>
    </w:trPr>
    <w:tcPr>
      <w:tcW w:w="0" w:type="auto"/>
      <w:vAlign w:val="top"/>
      <w:vMerge w:val="restart"/>
      <w:hMerge w:val="restart"/>
    </w:tcPr>
  </w:style>
  <w:style w:type="paragraph" w:styleId="855" w:customStyle="1">
    <w:name w:val="[РГ] Текст"/>
    <w:qFormat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Theme="minorHAnsi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856" w:customStyle="1">
    <w:name w:val="Table_text"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http://www.zakupki.gov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E2182-0F24-4728-92D0-240F928EF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Сороколетова</dc:creator>
  <cp:lastModifiedBy>sorokoletova_as</cp:lastModifiedBy>
  <cp:revision>55</cp:revision>
  <dcterms:created xsi:type="dcterms:W3CDTF">2021-08-02T23:17:00Z</dcterms:created>
  <dcterms:modified xsi:type="dcterms:W3CDTF">2026-07-23T06:31:02Z</dcterms:modified>
</cp:coreProperties>
</file>